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C369D" w14:textId="77777777" w:rsidR="000E0B97" w:rsidRPr="001B4F08" w:rsidRDefault="000E0B97" w:rsidP="000E0B97">
      <w:pPr>
        <w:tabs>
          <w:tab w:val="center" w:pos="4680"/>
          <w:tab w:val="right" w:pos="9360"/>
        </w:tabs>
        <w:spacing w:after="0" w:line="240" w:lineRule="auto"/>
        <w:rPr>
          <w:rFonts w:ascii="Calibri" w:hAnsi="Calibri" w:cs="Calibri"/>
        </w:rPr>
      </w:pPr>
      <w:bookmarkStart w:id="0" w:name="_Hlk164260071"/>
      <w:bookmarkStart w:id="1" w:name="_Hlk174534247"/>
      <w:bookmarkStart w:id="2" w:name="_Hlk184993326"/>
      <w:bookmarkStart w:id="3" w:name="_Hlk183082339"/>
      <w:bookmarkStart w:id="4" w:name="_Hlk198560820"/>
      <w:r w:rsidRPr="001B4F08">
        <w:rPr>
          <w:rFonts w:ascii="Calibri" w:hAnsi="Calibri" w:cs="Calibri"/>
        </w:rPr>
        <w:t>Distributed by UW News Service,</w:t>
      </w:r>
      <w:r>
        <w:rPr>
          <w:rFonts w:ascii="Calibri" w:hAnsi="Calibri" w:cs="Calibri"/>
        </w:rPr>
        <w:t xml:space="preserve"> December</w:t>
      </w:r>
      <w:r w:rsidRPr="001B4F08">
        <w:rPr>
          <w:rFonts w:ascii="Calibri" w:hAnsi="Calibri" w:cs="Calibri"/>
        </w:rPr>
        <w:t xml:space="preserve"> </w:t>
      </w:r>
      <w:r>
        <w:rPr>
          <w:rFonts w:ascii="Calibri" w:hAnsi="Calibri" w:cs="Calibri"/>
        </w:rPr>
        <w:t>15</w:t>
      </w:r>
      <w:r w:rsidRPr="001B4F08">
        <w:rPr>
          <w:rFonts w:ascii="Calibri" w:hAnsi="Calibri" w:cs="Calibri"/>
        </w:rPr>
        <w:t>, 2025</w:t>
      </w:r>
    </w:p>
    <w:p w14:paraId="6558174D" w14:textId="77777777" w:rsidR="000E0B97" w:rsidRPr="001B4F08" w:rsidRDefault="000E0B97" w:rsidP="000E0B97">
      <w:pPr>
        <w:rPr>
          <w:rFonts w:ascii="Calibri" w:hAnsi="Calibri" w:cs="Calibri"/>
        </w:rPr>
      </w:pPr>
    </w:p>
    <w:p w14:paraId="7F82BEF5" w14:textId="77777777" w:rsidR="000E0B97" w:rsidRDefault="000E0B97" w:rsidP="000E0B97">
      <w:pPr>
        <w:rPr>
          <w:rFonts w:ascii="Calibri" w:hAnsi="Calibri" w:cs="Calibri"/>
        </w:rPr>
      </w:pPr>
      <w:r w:rsidRPr="001B4F08">
        <w:rPr>
          <w:rFonts w:ascii="Calibri" w:hAnsi="Calibri" w:cs="Calibri"/>
        </w:rPr>
        <w:t xml:space="preserve">Link to original story: </w:t>
      </w:r>
      <w:hyperlink r:id="rId7" w:history="1">
        <w:r w:rsidRPr="00C62881">
          <w:rPr>
            <w:rStyle w:val="Hyperlink"/>
            <w:rFonts w:ascii="Calibri" w:hAnsi="Calibri" w:cs="Calibri"/>
          </w:rPr>
          <w:t>https://www.uwlax.edu/news/posts/preparing-talent-for-the-ai-era/</w:t>
        </w:r>
      </w:hyperlink>
    </w:p>
    <w:p w14:paraId="55E4C2FA" w14:textId="77777777" w:rsidR="000E0B97" w:rsidRPr="001B4F08" w:rsidRDefault="000E0B97" w:rsidP="000E0B97">
      <w:pPr>
        <w:rPr>
          <w:rFonts w:ascii="Calibri" w:hAnsi="Calibri" w:cs="Calibri"/>
        </w:rPr>
      </w:pPr>
    </w:p>
    <w:bookmarkEnd w:id="0"/>
    <w:bookmarkEnd w:id="1"/>
    <w:bookmarkEnd w:id="2"/>
    <w:p w14:paraId="4418C1F8" w14:textId="77777777" w:rsidR="000E0B97" w:rsidRPr="00875DD9" w:rsidRDefault="000E0B97" w:rsidP="000E0B97">
      <w:pPr>
        <w:rPr>
          <w:rFonts w:ascii="Montserrat" w:eastAsia="Times New Roman" w:hAnsi="Montserrat" w:cs="Times New Roman"/>
          <w:b/>
          <w:bCs/>
          <w:color w:val="282A2E"/>
          <w:sz w:val="27"/>
          <w:szCs w:val="27"/>
        </w:rPr>
      </w:pPr>
      <w:r w:rsidRPr="00875DD9">
        <w:rPr>
          <w:rFonts w:ascii="Montserrat" w:eastAsia="Times New Roman" w:hAnsi="Montserrat" w:cs="Times New Roman"/>
          <w:b/>
          <w:bCs/>
          <w:color w:val="282A2E"/>
          <w:sz w:val="36"/>
          <w:szCs w:val="36"/>
        </w:rPr>
        <w:t>Preparing talent for the AI era</w:t>
      </w:r>
      <w:hyperlink r:id="rId8" w:history="1">
        <w:r w:rsidRPr="00875DD9">
          <w:rPr>
            <w:rStyle w:val="Hyperlink"/>
            <w:rFonts w:ascii="Montserrat" w:eastAsia="Times New Roman" w:hAnsi="Montserrat" w:cs="Times New Roman"/>
            <w:b/>
            <w:bCs/>
            <w:sz w:val="36"/>
            <w:szCs w:val="36"/>
          </w:rPr>
          <w:br/>
        </w:r>
      </w:hyperlink>
      <w:hyperlink r:id="rId9" w:history="1">
        <w:r w:rsidRPr="00FB6E61">
          <w:rPr>
            <w:rFonts w:ascii="UWL-icons" w:eastAsia="Times New Roman" w:hAnsi="UWL-icons" w:cs="Times New Roman"/>
            <w:color w:val="FFFFFF"/>
            <w:sz w:val="36"/>
            <w:szCs w:val="36"/>
            <w:shd w:val="clear" w:color="auto" w:fill="3B5999"/>
          </w:rPr>
          <w:br/>
        </w:r>
      </w:hyperlink>
      <w:bookmarkEnd w:id="3"/>
      <w:r w:rsidRPr="00875DD9">
        <w:rPr>
          <w:rFonts w:ascii="Montserrat" w:eastAsia="Times New Roman" w:hAnsi="Montserrat" w:cs="Times New Roman"/>
          <w:b/>
          <w:bCs/>
          <w:color w:val="282A2E"/>
          <w:sz w:val="27"/>
          <w:szCs w:val="27"/>
        </w:rPr>
        <w:t>UW</w:t>
      </w:r>
      <w:r>
        <w:rPr>
          <w:rFonts w:ascii="Montserrat" w:eastAsia="Times New Roman" w:hAnsi="Montserrat" w:cs="Times New Roman"/>
          <w:b/>
          <w:bCs/>
          <w:color w:val="282A2E"/>
          <w:sz w:val="27"/>
          <w:szCs w:val="27"/>
        </w:rPr>
        <w:t>-</w:t>
      </w:r>
      <w:r w:rsidRPr="00875DD9">
        <w:rPr>
          <w:rFonts w:ascii="Montserrat" w:eastAsia="Times New Roman" w:hAnsi="Montserrat" w:cs="Times New Roman"/>
          <w:b/>
          <w:bCs/>
          <w:color w:val="282A2E"/>
          <w:sz w:val="27"/>
          <w:szCs w:val="27"/>
        </w:rPr>
        <w:t>L</w:t>
      </w:r>
      <w:r>
        <w:rPr>
          <w:rFonts w:ascii="Montserrat" w:eastAsia="Times New Roman" w:hAnsi="Montserrat" w:cs="Times New Roman"/>
          <w:b/>
          <w:bCs/>
          <w:color w:val="282A2E"/>
          <w:sz w:val="27"/>
          <w:szCs w:val="27"/>
        </w:rPr>
        <w:t>a Crosse</w:t>
      </w:r>
      <w:r w:rsidRPr="00875DD9">
        <w:rPr>
          <w:rFonts w:ascii="Montserrat" w:eastAsia="Times New Roman" w:hAnsi="Montserrat" w:cs="Times New Roman"/>
          <w:b/>
          <w:bCs/>
          <w:color w:val="282A2E"/>
          <w:sz w:val="27"/>
          <w:szCs w:val="27"/>
        </w:rPr>
        <w:t xml:space="preserve"> receives $400,000 NSF grant to grow innovation-driven business partnerships</w:t>
      </w:r>
    </w:p>
    <w:p w14:paraId="34288B41" w14:textId="77777777" w:rsidR="00EC67AA" w:rsidRDefault="00EC67AA" w:rsidP="00EC67AA">
      <w:pPr>
        <w:rPr>
          <w:rFonts w:cstheme="minorHAnsi"/>
          <w:iCs/>
        </w:rPr>
      </w:pPr>
      <w:r w:rsidRPr="00F33D78">
        <w:rPr>
          <w:rFonts w:cstheme="minorHAnsi"/>
          <w:iCs/>
        </w:rPr>
        <w:t>Written by UW-La Crosse University Marketing &amp; Communications</w:t>
      </w:r>
    </w:p>
    <w:bookmarkEnd w:id="4"/>
    <w:p w14:paraId="343F9A01" w14:textId="77777777" w:rsidR="00CC40B5" w:rsidRDefault="00CC40B5" w:rsidP="00BF5389">
      <w:pPr>
        <w:rPr>
          <w:rFonts w:cstheme="minorHAnsi"/>
          <w:iCs/>
        </w:rPr>
      </w:pPr>
    </w:p>
    <w:p w14:paraId="01B9A002" w14:textId="77777777" w:rsidR="001324E1" w:rsidRPr="001324E1" w:rsidRDefault="001324E1" w:rsidP="001324E1">
      <w:pPr>
        <w:rPr>
          <w:rFonts w:cstheme="minorHAnsi"/>
          <w:iCs/>
        </w:rPr>
      </w:pPr>
      <w:r w:rsidRPr="001324E1">
        <w:rPr>
          <w:rFonts w:cstheme="minorHAnsi"/>
          <w:iCs/>
        </w:rPr>
        <w:t>As technology rapidly evolves — especially in areas like artificial intelligence — the demand for a workforce that’s prepared to thrive in these innovative spaces has never been higher. A new federal grant aims to help UW-La Crosse meet that challenge. </w:t>
      </w:r>
    </w:p>
    <w:p w14:paraId="493C1C9B" w14:textId="77777777" w:rsidR="001324E1" w:rsidRPr="001324E1" w:rsidRDefault="001324E1" w:rsidP="001324E1">
      <w:pPr>
        <w:rPr>
          <w:rFonts w:cstheme="minorHAnsi"/>
          <w:iCs/>
        </w:rPr>
      </w:pPr>
      <w:r w:rsidRPr="001324E1">
        <w:rPr>
          <w:rFonts w:cstheme="minorHAnsi"/>
          <w:iCs/>
        </w:rPr>
        <w:t>UWL has received a $400,000 grant from the National Science Foundation through its </w:t>
      </w:r>
      <w:hyperlink r:id="rId10" w:tgtFrame="_blank" w:history="1">
        <w:r w:rsidRPr="001324E1">
          <w:rPr>
            <w:rStyle w:val="Hyperlink"/>
            <w:rFonts w:cstheme="minorHAnsi"/>
            <w:iCs/>
          </w:rPr>
          <w:t>Enabling Partnerships to Increase Innovation Capacity (EPIIC) program</w:t>
        </w:r>
      </w:hyperlink>
      <w:r w:rsidRPr="001324E1">
        <w:rPr>
          <w:rFonts w:cstheme="minorHAnsi"/>
          <w:iCs/>
        </w:rPr>
        <w:t>. Over the next three years, the funding will support UWL in building the infrastructure needed to become a hub for innovation-driven business partnerships, with a focus on technologies such as AI. </w:t>
      </w:r>
    </w:p>
    <w:p w14:paraId="222242C6" w14:textId="77777777" w:rsidR="001324E1" w:rsidRPr="001324E1" w:rsidRDefault="001324E1" w:rsidP="001324E1">
      <w:pPr>
        <w:rPr>
          <w:rFonts w:cstheme="minorHAnsi"/>
          <w:iCs/>
        </w:rPr>
      </w:pPr>
      <w:r w:rsidRPr="001324E1">
        <w:rPr>
          <w:rFonts w:cstheme="minorHAnsi"/>
          <w:iCs/>
        </w:rPr>
        <w:t>The grant will help UWL deepen its commitment to community engagement and innovation — key priorities in the university’s </w:t>
      </w:r>
      <w:hyperlink r:id="rId11" w:tgtFrame="_blank" w:history="1">
        <w:r w:rsidRPr="001324E1">
          <w:rPr>
            <w:rStyle w:val="Hyperlink"/>
            <w:rFonts w:cstheme="minorHAnsi"/>
            <w:iCs/>
          </w:rPr>
          <w:t>2025-30 strategic plan</w:t>
        </w:r>
      </w:hyperlink>
      <w:r w:rsidRPr="001324E1">
        <w:rPr>
          <w:rFonts w:cstheme="minorHAnsi"/>
          <w:iCs/>
        </w:rPr>
        <w:t>. </w:t>
      </w:r>
    </w:p>
    <w:p w14:paraId="176875F5" w14:textId="77777777" w:rsidR="001324E1" w:rsidRPr="001324E1" w:rsidRDefault="001324E1" w:rsidP="001324E1">
      <w:pPr>
        <w:rPr>
          <w:rFonts w:cstheme="minorHAnsi"/>
          <w:iCs/>
        </w:rPr>
      </w:pPr>
      <w:r w:rsidRPr="001324E1">
        <w:rPr>
          <w:rFonts w:cstheme="minorHAnsi"/>
          <w:iCs/>
        </w:rPr>
        <w:t>“This isn’t about telling the community what to do with AI,” says Marie Moeller, associate dean of the College of Arts, Social Sciences &amp; Humanities and a principal investigator on the grant. “It’s about listening to what they need. That conversation is what really matters to us.” </w:t>
      </w:r>
    </w:p>
    <w:p w14:paraId="1D81EB2F" w14:textId="77777777" w:rsidR="001324E1" w:rsidRPr="001324E1" w:rsidRDefault="001324E1" w:rsidP="001324E1">
      <w:pPr>
        <w:rPr>
          <w:rFonts w:cstheme="minorHAnsi"/>
          <w:b/>
          <w:bCs/>
          <w:iCs/>
        </w:rPr>
      </w:pPr>
      <w:r w:rsidRPr="001324E1">
        <w:rPr>
          <w:rFonts w:cstheme="minorHAnsi"/>
          <w:b/>
          <w:bCs/>
          <w:iCs/>
        </w:rPr>
        <w:t>Building capacity for innovation through partnership </w:t>
      </w:r>
    </w:p>
    <w:p w14:paraId="1C281FE0" w14:textId="77777777" w:rsidR="001324E1" w:rsidRPr="001324E1" w:rsidRDefault="001324E1" w:rsidP="001324E1">
      <w:pPr>
        <w:rPr>
          <w:rFonts w:cstheme="minorHAnsi"/>
          <w:iCs/>
        </w:rPr>
      </w:pPr>
      <w:r w:rsidRPr="001324E1">
        <w:rPr>
          <w:rFonts w:cstheme="minorHAnsi"/>
          <w:iCs/>
        </w:rPr>
        <w:t>The EPIIC program is designed specifically for smaller, non-R1 institutions with strong potential to expand innovation in partnership with their communities. Unlike most NSF grants, EPIIC selects recipients based on need — offering technical support, grant-writing guidance, and dedicated training to institutions that are often underrepresented in NSF funding. </w:t>
      </w:r>
    </w:p>
    <w:p w14:paraId="4A5B97E3" w14:textId="77777777" w:rsidR="001324E1" w:rsidRPr="001324E1" w:rsidRDefault="001324E1" w:rsidP="001324E1">
      <w:pPr>
        <w:rPr>
          <w:rFonts w:cstheme="minorHAnsi"/>
          <w:iCs/>
        </w:rPr>
      </w:pPr>
      <w:r w:rsidRPr="001324E1">
        <w:rPr>
          <w:rFonts w:cstheme="minorHAnsi"/>
          <w:iCs/>
        </w:rPr>
        <w:t>At UWL, the grant is led by three PIs: Whitney George, associate dean of the College of Science &amp; Health; Moeller; and Betsy Morgan, UWL provost. </w:t>
      </w:r>
    </w:p>
    <w:p w14:paraId="36DEAC31" w14:textId="77777777" w:rsidR="001324E1" w:rsidRPr="001324E1" w:rsidRDefault="001324E1" w:rsidP="001324E1">
      <w:pPr>
        <w:rPr>
          <w:rFonts w:cstheme="minorHAnsi"/>
          <w:iCs/>
        </w:rPr>
      </w:pPr>
      <w:r w:rsidRPr="001324E1">
        <w:rPr>
          <w:rFonts w:cstheme="minorHAnsi"/>
          <w:iCs/>
        </w:rPr>
        <w:t>“Innovation is always happening in industry,” says George. “But the university’s ability to keep pace — especially with costly new equipment and software — is limited. Building partnerships is an innovative way to address workforce needs while providing real-world learning opportunities for our students.” </w:t>
      </w:r>
    </w:p>
    <w:p w14:paraId="1780ADA5" w14:textId="77777777" w:rsidR="001324E1" w:rsidRPr="001324E1" w:rsidRDefault="001324E1" w:rsidP="001324E1">
      <w:pPr>
        <w:rPr>
          <w:rFonts w:cstheme="minorHAnsi"/>
          <w:b/>
          <w:bCs/>
          <w:iCs/>
        </w:rPr>
      </w:pPr>
      <w:r w:rsidRPr="001324E1">
        <w:rPr>
          <w:rFonts w:cstheme="minorHAnsi"/>
          <w:b/>
          <w:bCs/>
          <w:iCs/>
        </w:rPr>
        <w:t>Key outcomes: new faculty fellows, software and listening sessions </w:t>
      </w:r>
    </w:p>
    <w:p w14:paraId="3E923E40" w14:textId="77777777" w:rsidR="001324E1" w:rsidRPr="001324E1" w:rsidRDefault="001324E1" w:rsidP="001324E1">
      <w:pPr>
        <w:rPr>
          <w:rFonts w:cstheme="minorHAnsi"/>
          <w:iCs/>
        </w:rPr>
      </w:pPr>
      <w:r w:rsidRPr="001324E1">
        <w:rPr>
          <w:rFonts w:cstheme="minorHAnsi"/>
          <w:iCs/>
        </w:rPr>
        <w:lastRenderedPageBreak/>
        <w:t>The grant supports several major initiatives to build infrastructure and grow UWL’s capacity for long-term, sustainable partnerships: </w:t>
      </w:r>
    </w:p>
    <w:p w14:paraId="0B6AF6A5" w14:textId="48E2B587" w:rsidR="001324E1" w:rsidRPr="001324E1" w:rsidRDefault="001324E1" w:rsidP="001324E1">
      <w:pPr>
        <w:numPr>
          <w:ilvl w:val="0"/>
          <w:numId w:val="8"/>
        </w:numPr>
        <w:rPr>
          <w:rFonts w:cstheme="minorHAnsi"/>
          <w:iCs/>
        </w:rPr>
      </w:pPr>
      <w:r w:rsidRPr="001324E1">
        <w:rPr>
          <w:rFonts w:cstheme="minorHAnsi"/>
          <w:b/>
          <w:bCs/>
          <w:iCs/>
        </w:rPr>
        <w:t>Faculty fellows</w:t>
      </w:r>
      <w:r w:rsidRPr="001324E1">
        <w:rPr>
          <w:rFonts w:cstheme="minorHAnsi"/>
          <w:iCs/>
        </w:rPr>
        <w:t>: UWL will bring on three faculty fellows to support Director of Community Engagement Lisa Klein and serve as liaisons between UWL's Community Engaged Learning (CEL) program and each academic college. Their role will be to expand faculty understanding of CEL and strengthen its integration into curricula across campus.</w:t>
      </w:r>
    </w:p>
    <w:p w14:paraId="2184BFCE" w14:textId="77777777" w:rsidR="001324E1" w:rsidRPr="001324E1" w:rsidRDefault="001324E1" w:rsidP="001324E1">
      <w:pPr>
        <w:numPr>
          <w:ilvl w:val="0"/>
          <w:numId w:val="8"/>
        </w:numPr>
        <w:rPr>
          <w:rFonts w:cstheme="minorHAnsi"/>
          <w:iCs/>
        </w:rPr>
      </w:pPr>
      <w:r w:rsidRPr="001324E1">
        <w:rPr>
          <w:rFonts w:cstheme="minorHAnsi"/>
          <w:b/>
          <w:bCs/>
          <w:iCs/>
        </w:rPr>
        <w:t>Workshops and listening sessions:</w:t>
      </w:r>
      <w:r w:rsidRPr="001324E1">
        <w:rPr>
          <w:rFonts w:cstheme="minorHAnsi"/>
          <w:iCs/>
        </w:rPr>
        <w:t> UWL will host a series of interactive events with community and industry partners, focused on identifying mutual needs and discovering potential areas for collaboration. </w:t>
      </w:r>
    </w:p>
    <w:p w14:paraId="7CBF0D96" w14:textId="77777777" w:rsidR="001324E1" w:rsidRPr="001324E1" w:rsidRDefault="001324E1" w:rsidP="001324E1">
      <w:pPr>
        <w:numPr>
          <w:ilvl w:val="0"/>
          <w:numId w:val="8"/>
        </w:numPr>
        <w:rPr>
          <w:rFonts w:cstheme="minorHAnsi"/>
          <w:iCs/>
        </w:rPr>
      </w:pPr>
      <w:r w:rsidRPr="001324E1">
        <w:rPr>
          <w:rFonts w:cstheme="minorHAnsi"/>
          <w:b/>
          <w:bCs/>
          <w:iCs/>
        </w:rPr>
        <w:t>Community engagement software: </w:t>
      </w:r>
      <w:r w:rsidRPr="001324E1">
        <w:rPr>
          <w:rFonts w:cstheme="minorHAnsi"/>
          <w:iCs/>
        </w:rPr>
        <w:t>Funding will also support the purchase of software to manage and sustain community partnerships. This tool will allow UWL to track and maintain external relationships more effectively — ensuring continuity beyond individual faculty or staff involvement. </w:t>
      </w:r>
    </w:p>
    <w:p w14:paraId="487925D5" w14:textId="77777777" w:rsidR="001324E1" w:rsidRPr="001324E1" w:rsidRDefault="001324E1" w:rsidP="001324E1">
      <w:pPr>
        <w:rPr>
          <w:rFonts w:cstheme="minorHAnsi"/>
          <w:iCs/>
        </w:rPr>
      </w:pPr>
      <w:r w:rsidRPr="001324E1">
        <w:rPr>
          <w:rFonts w:cstheme="minorHAnsi"/>
          <w:iCs/>
        </w:rPr>
        <w:t>“You can’t have an institution of our size with just one person serving as the spoke for community engagement,” George says. “We’ve developed a lot over the last ten years related to community engagement. This grant allows us to build a structure that supports everyone’s efforts — and ensures those efforts are seen and sustained.” </w:t>
      </w:r>
    </w:p>
    <w:p w14:paraId="6AAD3D69" w14:textId="77777777" w:rsidR="001324E1" w:rsidRPr="001324E1" w:rsidRDefault="001324E1" w:rsidP="001324E1">
      <w:pPr>
        <w:rPr>
          <w:rFonts w:cstheme="minorHAnsi"/>
          <w:b/>
          <w:bCs/>
          <w:iCs/>
        </w:rPr>
      </w:pPr>
      <w:r w:rsidRPr="001324E1">
        <w:rPr>
          <w:rFonts w:cstheme="minorHAnsi"/>
          <w:b/>
          <w:bCs/>
          <w:iCs/>
        </w:rPr>
        <w:t>Why UWL? </w:t>
      </w:r>
    </w:p>
    <w:p w14:paraId="1319C79A" w14:textId="1C3289C5" w:rsidR="001324E1" w:rsidRPr="001324E1" w:rsidRDefault="001324E1" w:rsidP="001324E1">
      <w:pPr>
        <w:rPr>
          <w:rFonts w:cstheme="minorHAnsi"/>
          <w:iCs/>
        </w:rPr>
      </w:pPr>
      <w:r w:rsidRPr="001324E1">
        <w:rPr>
          <w:rFonts w:cstheme="minorHAnsi"/>
          <w:iCs/>
        </w:rPr>
        <w:t>UWL has a long-standing commitment to community engagement. More than a decade ago, Moeller and former CBA Dean Laura Milner laid the foundation for this work, advocating for deeper external partnerships. That commitment was formalized in UWL’s 2016 strategic plan, which named community engagement as one of its core pillars and led to the hiring of Klein. </w:t>
      </w:r>
    </w:p>
    <w:p w14:paraId="5F0B2C58" w14:textId="77777777" w:rsidR="001324E1" w:rsidRPr="001324E1" w:rsidRDefault="001324E1" w:rsidP="001324E1">
      <w:pPr>
        <w:rPr>
          <w:rFonts w:cstheme="minorHAnsi"/>
          <w:iCs/>
        </w:rPr>
      </w:pPr>
      <w:r w:rsidRPr="001324E1">
        <w:rPr>
          <w:rFonts w:cstheme="minorHAnsi"/>
          <w:iCs/>
        </w:rPr>
        <w:t>Since then, the CEL program — launched by Klein in 2021  — has grown, connecting students with real-world learning opportunities through community-based projects. The grant will advance this work even further. </w:t>
      </w:r>
    </w:p>
    <w:p w14:paraId="4AB11E29" w14:textId="77777777" w:rsidR="001324E1" w:rsidRPr="001324E1" w:rsidRDefault="001324E1" w:rsidP="001324E1">
      <w:pPr>
        <w:rPr>
          <w:rFonts w:cstheme="minorHAnsi"/>
          <w:iCs/>
        </w:rPr>
      </w:pPr>
      <w:r w:rsidRPr="001324E1">
        <w:rPr>
          <w:rFonts w:cstheme="minorHAnsi"/>
          <w:iCs/>
        </w:rPr>
        <w:t>“The funding provided by the NSF will help UWL strengthen our capacity to roll up our sleeves and create face-to-face opportunities for businesses and instructors to engage —building mutual understanding around current workforce needs and how the university can continue to prepare students to meet those changing needs,” said Klein. “This grant also gives UWL a chance to better market, measure and share the stories that highlight the value of community engagement, with the goal of expanding our collaborations.” </w:t>
      </w:r>
    </w:p>
    <w:p w14:paraId="07DEDDD8" w14:textId="77777777" w:rsidR="001324E1" w:rsidRPr="001324E1" w:rsidRDefault="001324E1" w:rsidP="001324E1">
      <w:pPr>
        <w:rPr>
          <w:rFonts w:cstheme="minorHAnsi"/>
          <w:iCs/>
        </w:rPr>
      </w:pPr>
      <w:hyperlink r:id="rId12" w:tgtFrame="_blank" w:history="1">
        <w:r w:rsidRPr="001324E1">
          <w:rPr>
            <w:rStyle w:val="Hyperlink"/>
            <w:rFonts w:cstheme="minorHAnsi"/>
            <w:iCs/>
          </w:rPr>
          <w:t>UWL’s new strategic plan</w:t>
        </w:r>
      </w:hyperlink>
      <w:r w:rsidRPr="001324E1">
        <w:rPr>
          <w:rFonts w:cstheme="minorHAnsi"/>
          <w:iCs/>
        </w:rPr>
        <w:t xml:space="preserve">, now in its final stages of development, continues to elevate this focus on community engagement. It includes “The Driftless Difference,” as a key pillar, which, in part, aims to deepen UWL’s role as a regional partner and cultural hub by fostering impactful, </w:t>
      </w:r>
      <w:proofErr w:type="gramStart"/>
      <w:r w:rsidRPr="001324E1">
        <w:rPr>
          <w:rFonts w:cstheme="minorHAnsi"/>
          <w:iCs/>
        </w:rPr>
        <w:t>mutually-beneficial</w:t>
      </w:r>
      <w:proofErr w:type="gramEnd"/>
      <w:r w:rsidRPr="001324E1">
        <w:rPr>
          <w:rFonts w:cstheme="minorHAnsi"/>
          <w:iCs/>
        </w:rPr>
        <w:t xml:space="preserve"> community partnerships.  </w:t>
      </w:r>
    </w:p>
    <w:p w14:paraId="0BF15DDF" w14:textId="77777777" w:rsidR="001324E1" w:rsidRPr="001324E1" w:rsidRDefault="001324E1" w:rsidP="001324E1">
      <w:pPr>
        <w:rPr>
          <w:rFonts w:cstheme="minorHAnsi"/>
          <w:b/>
          <w:bCs/>
          <w:iCs/>
        </w:rPr>
      </w:pPr>
      <w:r w:rsidRPr="001324E1">
        <w:rPr>
          <w:rFonts w:cstheme="minorHAnsi"/>
          <w:b/>
          <w:bCs/>
          <w:iCs/>
        </w:rPr>
        <w:t>A national cohort: strength through collaboration </w:t>
      </w:r>
    </w:p>
    <w:p w14:paraId="45AAE28B" w14:textId="77777777" w:rsidR="001324E1" w:rsidRPr="001324E1" w:rsidRDefault="001324E1" w:rsidP="001324E1">
      <w:pPr>
        <w:rPr>
          <w:rFonts w:cstheme="minorHAnsi"/>
          <w:iCs/>
        </w:rPr>
      </w:pPr>
      <w:r w:rsidRPr="001324E1">
        <w:rPr>
          <w:rFonts w:cstheme="minorHAnsi"/>
          <w:iCs/>
        </w:rPr>
        <w:lastRenderedPageBreak/>
        <w:t>UWL is one of five institutions selected to form a cohort through the EPIIC program. These institutions — diverse in size, structure, and location — will collaborate throughout the grant period, sharing resources and learning from each other. </w:t>
      </w:r>
    </w:p>
    <w:p w14:paraId="47C1C09E" w14:textId="77777777" w:rsidR="001324E1" w:rsidRPr="001324E1" w:rsidRDefault="001324E1" w:rsidP="001324E1">
      <w:pPr>
        <w:rPr>
          <w:rFonts w:cstheme="minorHAnsi"/>
          <w:iCs/>
        </w:rPr>
      </w:pPr>
      <w:r w:rsidRPr="001324E1">
        <w:rPr>
          <w:rFonts w:cstheme="minorHAnsi"/>
          <w:iCs/>
        </w:rPr>
        <w:t>UWL's cohort includes: </w:t>
      </w:r>
    </w:p>
    <w:p w14:paraId="6F074A3B" w14:textId="77777777" w:rsidR="001324E1" w:rsidRPr="001324E1" w:rsidRDefault="001324E1" w:rsidP="001324E1">
      <w:pPr>
        <w:numPr>
          <w:ilvl w:val="0"/>
          <w:numId w:val="9"/>
        </w:numPr>
        <w:rPr>
          <w:rFonts w:cstheme="minorHAnsi"/>
          <w:iCs/>
        </w:rPr>
      </w:pPr>
      <w:r w:rsidRPr="001324E1">
        <w:rPr>
          <w:rFonts w:cstheme="minorHAnsi"/>
          <w:b/>
          <w:bCs/>
          <w:iCs/>
        </w:rPr>
        <w:t>Estrella Mountain Community College (EMCC)</w:t>
      </w:r>
      <w:r w:rsidRPr="001324E1">
        <w:rPr>
          <w:rFonts w:cstheme="minorHAnsi"/>
          <w:iCs/>
        </w:rPr>
        <w:t> — 10,000-student Hispanic-Serving Institution near Phoenix, AZ </w:t>
      </w:r>
    </w:p>
    <w:p w14:paraId="05B7BBAA" w14:textId="77777777" w:rsidR="001324E1" w:rsidRPr="001324E1" w:rsidRDefault="001324E1" w:rsidP="001324E1">
      <w:pPr>
        <w:numPr>
          <w:ilvl w:val="0"/>
          <w:numId w:val="9"/>
        </w:numPr>
        <w:rPr>
          <w:rFonts w:cstheme="minorHAnsi"/>
          <w:iCs/>
        </w:rPr>
      </w:pPr>
      <w:r w:rsidRPr="001324E1">
        <w:rPr>
          <w:rFonts w:cstheme="minorHAnsi"/>
          <w:b/>
          <w:bCs/>
          <w:iCs/>
        </w:rPr>
        <w:t>Houston Community College (HCC)</w:t>
      </w:r>
      <w:r w:rsidRPr="001324E1">
        <w:rPr>
          <w:rFonts w:cstheme="minorHAnsi"/>
          <w:iCs/>
        </w:rPr>
        <w:t> — 85,000-student Hispanic-Serving Institution in Houston, TX </w:t>
      </w:r>
    </w:p>
    <w:p w14:paraId="74A7108B" w14:textId="77777777" w:rsidR="001324E1" w:rsidRPr="001324E1" w:rsidRDefault="001324E1" w:rsidP="001324E1">
      <w:pPr>
        <w:numPr>
          <w:ilvl w:val="0"/>
          <w:numId w:val="9"/>
        </w:numPr>
        <w:rPr>
          <w:rFonts w:cstheme="minorHAnsi"/>
          <w:iCs/>
        </w:rPr>
      </w:pPr>
      <w:r w:rsidRPr="001324E1">
        <w:rPr>
          <w:rFonts w:cstheme="minorHAnsi"/>
          <w:b/>
          <w:bCs/>
          <w:iCs/>
        </w:rPr>
        <w:t>SUNY Geneseo </w:t>
      </w:r>
      <w:r w:rsidRPr="001324E1">
        <w:rPr>
          <w:rFonts w:cstheme="minorHAnsi"/>
          <w:iCs/>
        </w:rPr>
        <w:t>— 4,000-student primarily undergraduate college near Rochester, NY </w:t>
      </w:r>
    </w:p>
    <w:p w14:paraId="48328FA5" w14:textId="77777777" w:rsidR="001324E1" w:rsidRPr="001324E1" w:rsidRDefault="001324E1" w:rsidP="001324E1">
      <w:pPr>
        <w:numPr>
          <w:ilvl w:val="0"/>
          <w:numId w:val="9"/>
        </w:numPr>
        <w:rPr>
          <w:rFonts w:cstheme="minorHAnsi"/>
          <w:iCs/>
        </w:rPr>
      </w:pPr>
      <w:r w:rsidRPr="001324E1">
        <w:rPr>
          <w:rFonts w:cstheme="minorHAnsi"/>
          <w:b/>
          <w:bCs/>
          <w:iCs/>
        </w:rPr>
        <w:t>SUNY Polytechnic Institute (SUNY Poly)</w:t>
      </w:r>
      <w:r w:rsidRPr="001324E1">
        <w:rPr>
          <w:rFonts w:cstheme="minorHAnsi"/>
          <w:iCs/>
        </w:rPr>
        <w:t> — 3,000-student technical institute in Utica, NY </w:t>
      </w:r>
    </w:p>
    <w:p w14:paraId="56BD7D30" w14:textId="77777777" w:rsidR="001324E1" w:rsidRPr="001324E1" w:rsidRDefault="001324E1" w:rsidP="001324E1">
      <w:pPr>
        <w:rPr>
          <w:rFonts w:cstheme="minorHAnsi"/>
          <w:iCs/>
        </w:rPr>
      </w:pPr>
      <w:r w:rsidRPr="001324E1">
        <w:rPr>
          <w:rFonts w:cstheme="minorHAnsi"/>
          <w:iCs/>
        </w:rPr>
        <w:t>Each institution brings unique strengths and needs to the table. While UWL offers excellence in teaching and a strong commitment to engagement, it is looking to strengthen its infrastructure and grow its capacity in fields like AI. The cohort model ensures that each university benefits from the shared expertise of its peers. </w:t>
      </w:r>
    </w:p>
    <w:p w14:paraId="3E7888E2" w14:textId="77777777" w:rsidR="001324E1" w:rsidRPr="001324E1" w:rsidRDefault="001324E1" w:rsidP="001324E1">
      <w:pPr>
        <w:rPr>
          <w:rFonts w:cstheme="minorHAnsi"/>
          <w:b/>
          <w:bCs/>
          <w:iCs/>
        </w:rPr>
      </w:pPr>
      <w:r w:rsidRPr="001324E1">
        <w:rPr>
          <w:rFonts w:cstheme="minorHAnsi"/>
          <w:b/>
          <w:bCs/>
          <w:iCs/>
        </w:rPr>
        <w:t>What’s next? </w:t>
      </w:r>
    </w:p>
    <w:p w14:paraId="312815E7" w14:textId="77777777" w:rsidR="001324E1" w:rsidRPr="001324E1" w:rsidRDefault="001324E1" w:rsidP="001324E1">
      <w:pPr>
        <w:rPr>
          <w:rFonts w:cstheme="minorHAnsi"/>
          <w:iCs/>
        </w:rPr>
      </w:pPr>
      <w:r w:rsidRPr="001324E1">
        <w:rPr>
          <w:rFonts w:cstheme="minorHAnsi"/>
          <w:iCs/>
        </w:rPr>
        <w:t>At the end of the three-year grant period, UWL will be eligible to apply for additional NSF grants — further expanding its ability to build sustainable, innovation-driven partnerships that benefit both students and the regional economy. </w:t>
      </w:r>
    </w:p>
    <w:p w14:paraId="69DD038D" w14:textId="5CB79CD1" w:rsidR="001324E1" w:rsidRPr="001324E1" w:rsidRDefault="001324E1" w:rsidP="001324E1">
      <w:pPr>
        <w:rPr>
          <w:rFonts w:cstheme="minorHAnsi"/>
          <w:iCs/>
        </w:rPr>
      </w:pPr>
      <w:r w:rsidRPr="001324E1">
        <w:rPr>
          <w:rFonts w:cstheme="minorHAnsi"/>
          <w:iCs/>
        </w:rPr>
        <w:t>This grant builds on of all the hard work already done at UWL and in the community, starting from the early advocacy work of Milner and Moeller to Klein’s leadership in building initial infrastructure, to faculty who have invested time in integrating engagement into their classroom and the businesses who have partnered with them, George and Moeller say. </w:t>
      </w:r>
    </w:p>
    <w:p w14:paraId="5EDE20BF" w14:textId="77777777" w:rsidR="001324E1" w:rsidRPr="001324E1" w:rsidRDefault="001324E1" w:rsidP="001324E1">
      <w:pPr>
        <w:rPr>
          <w:rFonts w:cstheme="minorHAnsi"/>
          <w:iCs/>
        </w:rPr>
      </w:pPr>
      <w:r w:rsidRPr="001324E1">
        <w:rPr>
          <w:rFonts w:cstheme="minorHAnsi"/>
          <w:iCs/>
        </w:rPr>
        <w:t>“This grant is a way to say: We see you. We value you. And now we’re giving you the tools to take this work even further,” says George. </w:t>
      </w:r>
    </w:p>
    <w:p w14:paraId="1FBC9305" w14:textId="77777777" w:rsidR="003D353A" w:rsidRPr="00BF5389" w:rsidRDefault="003D353A" w:rsidP="00BF5389">
      <w:pPr>
        <w:rPr>
          <w:rFonts w:cstheme="minorHAnsi"/>
          <w:iCs/>
        </w:rPr>
      </w:pPr>
    </w:p>
    <w:sectPr w:rsidR="003D353A" w:rsidRPr="00BF5389" w:rsidSect="00292972">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3AAD4" w14:textId="77777777" w:rsidR="00CB2034" w:rsidRDefault="00CB2034" w:rsidP="00292972">
      <w:pPr>
        <w:spacing w:after="0" w:line="240" w:lineRule="auto"/>
      </w:pPr>
      <w:r>
        <w:separator/>
      </w:r>
    </w:p>
  </w:endnote>
  <w:endnote w:type="continuationSeparator" w:id="0">
    <w:p w14:paraId="1D0879EC" w14:textId="77777777" w:rsidR="00CB2034" w:rsidRDefault="00CB2034"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UWL-icon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C3D92" w14:textId="77777777" w:rsidR="00CB2034" w:rsidRDefault="00CB2034" w:rsidP="00292972">
      <w:pPr>
        <w:spacing w:after="0" w:line="240" w:lineRule="auto"/>
      </w:pPr>
      <w:r>
        <w:separator/>
      </w:r>
    </w:p>
  </w:footnote>
  <w:footnote w:type="continuationSeparator" w:id="0">
    <w:p w14:paraId="1BF0882C" w14:textId="77777777" w:rsidR="00CB2034" w:rsidRDefault="00CB2034"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4043C"/>
    <w:multiLevelType w:val="multilevel"/>
    <w:tmpl w:val="5BE25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CA3339"/>
    <w:multiLevelType w:val="multilevel"/>
    <w:tmpl w:val="C4AC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2D0586"/>
    <w:multiLevelType w:val="multilevel"/>
    <w:tmpl w:val="4E52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798583">
    <w:abstractNumId w:val="3"/>
  </w:num>
  <w:num w:numId="2" w16cid:durableId="1675566904">
    <w:abstractNumId w:val="7"/>
  </w:num>
  <w:num w:numId="3" w16cid:durableId="1647927662">
    <w:abstractNumId w:val="1"/>
  </w:num>
  <w:num w:numId="4" w16cid:durableId="1659066196">
    <w:abstractNumId w:val="4"/>
  </w:num>
  <w:num w:numId="5" w16cid:durableId="2016178333">
    <w:abstractNumId w:val="6"/>
  </w:num>
  <w:num w:numId="6" w16cid:durableId="1361279332">
    <w:abstractNumId w:val="5"/>
  </w:num>
  <w:num w:numId="7" w16cid:durableId="861938284">
    <w:abstractNumId w:val="8"/>
  </w:num>
  <w:num w:numId="8" w16cid:durableId="1444493332">
    <w:abstractNumId w:val="2"/>
  </w:num>
  <w:num w:numId="9" w16cid:durableId="1937979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7B0C"/>
    <w:rsid w:val="00063679"/>
    <w:rsid w:val="00084677"/>
    <w:rsid w:val="000E0B97"/>
    <w:rsid w:val="00103BB1"/>
    <w:rsid w:val="0011731B"/>
    <w:rsid w:val="00130564"/>
    <w:rsid w:val="001324E1"/>
    <w:rsid w:val="001435FD"/>
    <w:rsid w:val="00167A86"/>
    <w:rsid w:val="0017707C"/>
    <w:rsid w:val="001902BC"/>
    <w:rsid w:val="001A2BC3"/>
    <w:rsid w:val="001A4A1F"/>
    <w:rsid w:val="001B4328"/>
    <w:rsid w:val="001B75F8"/>
    <w:rsid w:val="001C6F2F"/>
    <w:rsid w:val="001C7121"/>
    <w:rsid w:val="001D4380"/>
    <w:rsid w:val="001E2D78"/>
    <w:rsid w:val="002061DA"/>
    <w:rsid w:val="00215B18"/>
    <w:rsid w:val="00250AFD"/>
    <w:rsid w:val="00264BA6"/>
    <w:rsid w:val="002844E7"/>
    <w:rsid w:val="00286FB0"/>
    <w:rsid w:val="00292972"/>
    <w:rsid w:val="002E1B8F"/>
    <w:rsid w:val="002E5CC4"/>
    <w:rsid w:val="003017E6"/>
    <w:rsid w:val="003300D2"/>
    <w:rsid w:val="00333CA2"/>
    <w:rsid w:val="003409D1"/>
    <w:rsid w:val="00350BC8"/>
    <w:rsid w:val="00371139"/>
    <w:rsid w:val="00380FAC"/>
    <w:rsid w:val="003822C2"/>
    <w:rsid w:val="00384E3D"/>
    <w:rsid w:val="003B166A"/>
    <w:rsid w:val="003B40F7"/>
    <w:rsid w:val="003B4C33"/>
    <w:rsid w:val="003B5489"/>
    <w:rsid w:val="003C3343"/>
    <w:rsid w:val="003C773B"/>
    <w:rsid w:val="003D353A"/>
    <w:rsid w:val="003D6503"/>
    <w:rsid w:val="003D6697"/>
    <w:rsid w:val="003E40B6"/>
    <w:rsid w:val="003E7888"/>
    <w:rsid w:val="003F13BF"/>
    <w:rsid w:val="003F70A2"/>
    <w:rsid w:val="0040210E"/>
    <w:rsid w:val="00440664"/>
    <w:rsid w:val="004823E9"/>
    <w:rsid w:val="0048480A"/>
    <w:rsid w:val="004955D9"/>
    <w:rsid w:val="004A6A90"/>
    <w:rsid w:val="004B0CA0"/>
    <w:rsid w:val="004B5189"/>
    <w:rsid w:val="00523BE8"/>
    <w:rsid w:val="00540A55"/>
    <w:rsid w:val="00554D92"/>
    <w:rsid w:val="005D082B"/>
    <w:rsid w:val="005D46B5"/>
    <w:rsid w:val="005D5C61"/>
    <w:rsid w:val="005E3C05"/>
    <w:rsid w:val="006031CA"/>
    <w:rsid w:val="00611E8D"/>
    <w:rsid w:val="006155C4"/>
    <w:rsid w:val="00632D5A"/>
    <w:rsid w:val="00684EC8"/>
    <w:rsid w:val="006B1F0D"/>
    <w:rsid w:val="006D00A7"/>
    <w:rsid w:val="006D6C25"/>
    <w:rsid w:val="006F7787"/>
    <w:rsid w:val="0071587D"/>
    <w:rsid w:val="00744923"/>
    <w:rsid w:val="00771192"/>
    <w:rsid w:val="00786A7C"/>
    <w:rsid w:val="007A729C"/>
    <w:rsid w:val="007D5228"/>
    <w:rsid w:val="007F000B"/>
    <w:rsid w:val="007F177D"/>
    <w:rsid w:val="007F17F8"/>
    <w:rsid w:val="0080214B"/>
    <w:rsid w:val="00804FC4"/>
    <w:rsid w:val="0081034D"/>
    <w:rsid w:val="008119C0"/>
    <w:rsid w:val="008178CC"/>
    <w:rsid w:val="008409E4"/>
    <w:rsid w:val="00860B3C"/>
    <w:rsid w:val="00864C30"/>
    <w:rsid w:val="00891CDD"/>
    <w:rsid w:val="00894039"/>
    <w:rsid w:val="00897DB7"/>
    <w:rsid w:val="008A2C8E"/>
    <w:rsid w:val="008B3D01"/>
    <w:rsid w:val="008E014C"/>
    <w:rsid w:val="009137EF"/>
    <w:rsid w:val="00921468"/>
    <w:rsid w:val="0092256A"/>
    <w:rsid w:val="00965A6E"/>
    <w:rsid w:val="00975A63"/>
    <w:rsid w:val="00975FC8"/>
    <w:rsid w:val="009B624B"/>
    <w:rsid w:val="009E3070"/>
    <w:rsid w:val="00A14727"/>
    <w:rsid w:val="00A32C01"/>
    <w:rsid w:val="00A80422"/>
    <w:rsid w:val="00AA184E"/>
    <w:rsid w:val="00AA7167"/>
    <w:rsid w:val="00AC6504"/>
    <w:rsid w:val="00AD2EBE"/>
    <w:rsid w:val="00B105D2"/>
    <w:rsid w:val="00B10C3F"/>
    <w:rsid w:val="00B1443B"/>
    <w:rsid w:val="00B2386B"/>
    <w:rsid w:val="00B23B17"/>
    <w:rsid w:val="00B31BCC"/>
    <w:rsid w:val="00B42426"/>
    <w:rsid w:val="00B53C82"/>
    <w:rsid w:val="00B70C03"/>
    <w:rsid w:val="00BB129B"/>
    <w:rsid w:val="00BC663C"/>
    <w:rsid w:val="00BD75ED"/>
    <w:rsid w:val="00BF5389"/>
    <w:rsid w:val="00C04310"/>
    <w:rsid w:val="00C15FD4"/>
    <w:rsid w:val="00C453C4"/>
    <w:rsid w:val="00C81E86"/>
    <w:rsid w:val="00C95873"/>
    <w:rsid w:val="00C975BC"/>
    <w:rsid w:val="00CB2034"/>
    <w:rsid w:val="00CC40B5"/>
    <w:rsid w:val="00CC538A"/>
    <w:rsid w:val="00D06224"/>
    <w:rsid w:val="00D07D9B"/>
    <w:rsid w:val="00D4747B"/>
    <w:rsid w:val="00D54E4B"/>
    <w:rsid w:val="00D67E2F"/>
    <w:rsid w:val="00D75B82"/>
    <w:rsid w:val="00D80DFA"/>
    <w:rsid w:val="00D83A22"/>
    <w:rsid w:val="00D86897"/>
    <w:rsid w:val="00D96083"/>
    <w:rsid w:val="00DA1EBB"/>
    <w:rsid w:val="00DC3A57"/>
    <w:rsid w:val="00DC4B40"/>
    <w:rsid w:val="00DE0599"/>
    <w:rsid w:val="00E14B00"/>
    <w:rsid w:val="00E25AF7"/>
    <w:rsid w:val="00E329DA"/>
    <w:rsid w:val="00E456F8"/>
    <w:rsid w:val="00E53B42"/>
    <w:rsid w:val="00E71FF2"/>
    <w:rsid w:val="00E86FC4"/>
    <w:rsid w:val="00E95953"/>
    <w:rsid w:val="00EA4C05"/>
    <w:rsid w:val="00EA6C5C"/>
    <w:rsid w:val="00EA7406"/>
    <w:rsid w:val="00EB0855"/>
    <w:rsid w:val="00EC67AA"/>
    <w:rsid w:val="00EF7F6B"/>
    <w:rsid w:val="00F106B5"/>
    <w:rsid w:val="00F1457C"/>
    <w:rsid w:val="00F33D78"/>
    <w:rsid w:val="00F5164E"/>
    <w:rsid w:val="00F57EE9"/>
    <w:rsid w:val="00F911A0"/>
    <w:rsid w:val="00F91C0E"/>
    <w:rsid w:val="00F9337E"/>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22893863">
      <w:bodyDiv w:val="1"/>
      <w:marLeft w:val="0"/>
      <w:marRight w:val="0"/>
      <w:marTop w:val="0"/>
      <w:marBottom w:val="0"/>
      <w:divBdr>
        <w:top w:val="none" w:sz="0" w:space="0" w:color="auto"/>
        <w:left w:val="none" w:sz="0" w:space="0" w:color="auto"/>
        <w:bottom w:val="none" w:sz="0" w:space="0" w:color="auto"/>
        <w:right w:val="none" w:sz="0" w:space="0" w:color="auto"/>
      </w:divBdr>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267322914">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336277019">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03517376">
      <w:bodyDiv w:val="1"/>
      <w:marLeft w:val="0"/>
      <w:marRight w:val="0"/>
      <w:marTop w:val="0"/>
      <w:marBottom w:val="0"/>
      <w:divBdr>
        <w:top w:val="none" w:sz="0" w:space="0" w:color="auto"/>
        <w:left w:val="none" w:sz="0" w:space="0" w:color="auto"/>
        <w:bottom w:val="none" w:sz="0" w:space="0" w:color="auto"/>
        <w:right w:val="none" w:sz="0" w:space="0" w:color="auto"/>
      </w:divBdr>
      <w:divsChild>
        <w:div w:id="41098796">
          <w:marLeft w:val="0"/>
          <w:marRight w:val="0"/>
          <w:marTop w:val="0"/>
          <w:marBottom w:val="0"/>
          <w:divBdr>
            <w:top w:val="none" w:sz="0" w:space="0" w:color="auto"/>
            <w:left w:val="none" w:sz="0" w:space="0" w:color="auto"/>
            <w:bottom w:val="none" w:sz="0" w:space="0" w:color="auto"/>
            <w:right w:val="none" w:sz="0" w:space="0" w:color="auto"/>
          </w:divBdr>
        </w:div>
        <w:div w:id="135689578">
          <w:marLeft w:val="0"/>
          <w:marRight w:val="0"/>
          <w:marTop w:val="0"/>
          <w:marBottom w:val="0"/>
          <w:divBdr>
            <w:top w:val="none" w:sz="0" w:space="0" w:color="auto"/>
            <w:left w:val="none" w:sz="0" w:space="0" w:color="auto"/>
            <w:bottom w:val="none" w:sz="0" w:space="0" w:color="auto"/>
            <w:right w:val="none" w:sz="0" w:space="0" w:color="auto"/>
          </w:divBdr>
        </w:div>
      </w:divsChild>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23313113">
      <w:bodyDiv w:val="1"/>
      <w:marLeft w:val="0"/>
      <w:marRight w:val="0"/>
      <w:marTop w:val="0"/>
      <w:marBottom w:val="0"/>
      <w:divBdr>
        <w:top w:val="none" w:sz="0" w:space="0" w:color="auto"/>
        <w:left w:val="none" w:sz="0" w:space="0" w:color="auto"/>
        <w:bottom w:val="none" w:sz="0" w:space="0" w:color="auto"/>
        <w:right w:val="none" w:sz="0" w:space="0" w:color="auto"/>
      </w:divBdr>
      <w:divsChild>
        <w:div w:id="1278682826">
          <w:marLeft w:val="0"/>
          <w:marRight w:val="0"/>
          <w:marTop w:val="0"/>
          <w:marBottom w:val="0"/>
          <w:divBdr>
            <w:top w:val="none" w:sz="0" w:space="0" w:color="auto"/>
            <w:left w:val="none" w:sz="0" w:space="0" w:color="auto"/>
            <w:bottom w:val="none" w:sz="0" w:space="0" w:color="auto"/>
            <w:right w:val="none" w:sz="0" w:space="0" w:color="auto"/>
          </w:divBdr>
        </w:div>
        <w:div w:id="438138327">
          <w:marLeft w:val="0"/>
          <w:marRight w:val="0"/>
          <w:marTop w:val="0"/>
          <w:marBottom w:val="0"/>
          <w:divBdr>
            <w:top w:val="none" w:sz="0" w:space="0" w:color="auto"/>
            <w:left w:val="none" w:sz="0" w:space="0" w:color="auto"/>
            <w:bottom w:val="none" w:sz="0" w:space="0" w:color="auto"/>
            <w:right w:val="none" w:sz="0" w:space="0" w:color="auto"/>
          </w:divBdr>
        </w:div>
        <w:div w:id="1578637822">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635988707">
      <w:bodyDiv w:val="1"/>
      <w:marLeft w:val="0"/>
      <w:marRight w:val="0"/>
      <w:marTop w:val="0"/>
      <w:marBottom w:val="0"/>
      <w:divBdr>
        <w:top w:val="none" w:sz="0" w:space="0" w:color="auto"/>
        <w:left w:val="none" w:sz="0" w:space="0" w:color="auto"/>
        <w:bottom w:val="none" w:sz="0" w:space="0" w:color="auto"/>
        <w:right w:val="none" w:sz="0" w:space="0" w:color="auto"/>
      </w:divBdr>
      <w:divsChild>
        <w:div w:id="1900283212">
          <w:marLeft w:val="0"/>
          <w:marRight w:val="0"/>
          <w:marTop w:val="0"/>
          <w:marBottom w:val="0"/>
          <w:divBdr>
            <w:top w:val="none" w:sz="0" w:space="0" w:color="auto"/>
            <w:left w:val="none" w:sz="0" w:space="0" w:color="auto"/>
            <w:bottom w:val="none" w:sz="0" w:space="0" w:color="auto"/>
            <w:right w:val="none" w:sz="0" w:space="0" w:color="auto"/>
          </w:divBdr>
        </w:div>
        <w:div w:id="903684266">
          <w:marLeft w:val="0"/>
          <w:marRight w:val="0"/>
          <w:marTop w:val="0"/>
          <w:marBottom w:val="0"/>
          <w:divBdr>
            <w:top w:val="none" w:sz="0" w:space="0" w:color="auto"/>
            <w:left w:val="none" w:sz="0" w:space="0" w:color="auto"/>
            <w:bottom w:val="none" w:sz="0" w:space="0" w:color="auto"/>
            <w:right w:val="none" w:sz="0" w:space="0" w:color="auto"/>
          </w:divBdr>
        </w:div>
      </w:divsChild>
    </w:div>
    <w:div w:id="637808828">
      <w:bodyDiv w:val="1"/>
      <w:marLeft w:val="0"/>
      <w:marRight w:val="0"/>
      <w:marTop w:val="0"/>
      <w:marBottom w:val="0"/>
      <w:divBdr>
        <w:top w:val="none" w:sz="0" w:space="0" w:color="auto"/>
        <w:left w:val="none" w:sz="0" w:space="0" w:color="auto"/>
        <w:bottom w:val="none" w:sz="0" w:space="0" w:color="auto"/>
        <w:right w:val="none" w:sz="0" w:space="0" w:color="auto"/>
      </w:divBdr>
    </w:div>
    <w:div w:id="718164066">
      <w:bodyDiv w:val="1"/>
      <w:marLeft w:val="0"/>
      <w:marRight w:val="0"/>
      <w:marTop w:val="0"/>
      <w:marBottom w:val="0"/>
      <w:divBdr>
        <w:top w:val="none" w:sz="0" w:space="0" w:color="auto"/>
        <w:left w:val="none" w:sz="0" w:space="0" w:color="auto"/>
        <w:bottom w:val="none" w:sz="0" w:space="0" w:color="auto"/>
        <w:right w:val="none" w:sz="0" w:space="0" w:color="auto"/>
      </w:divBdr>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2456723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54207824">
      <w:bodyDiv w:val="1"/>
      <w:marLeft w:val="0"/>
      <w:marRight w:val="0"/>
      <w:marTop w:val="0"/>
      <w:marBottom w:val="0"/>
      <w:divBdr>
        <w:top w:val="none" w:sz="0" w:space="0" w:color="auto"/>
        <w:left w:val="none" w:sz="0" w:space="0" w:color="auto"/>
        <w:bottom w:val="none" w:sz="0" w:space="0" w:color="auto"/>
        <w:right w:val="none" w:sz="0" w:space="0" w:color="auto"/>
      </w:divBdr>
      <w:divsChild>
        <w:div w:id="807358893">
          <w:marLeft w:val="0"/>
          <w:marRight w:val="0"/>
          <w:marTop w:val="0"/>
          <w:marBottom w:val="0"/>
          <w:divBdr>
            <w:top w:val="none" w:sz="0" w:space="0" w:color="auto"/>
            <w:left w:val="none" w:sz="0" w:space="0" w:color="auto"/>
            <w:bottom w:val="none" w:sz="0" w:space="0" w:color="auto"/>
            <w:right w:val="none" w:sz="0" w:space="0" w:color="auto"/>
          </w:divBdr>
        </w:div>
        <w:div w:id="955059446">
          <w:marLeft w:val="0"/>
          <w:marRight w:val="0"/>
          <w:marTop w:val="0"/>
          <w:marBottom w:val="0"/>
          <w:divBdr>
            <w:top w:val="none" w:sz="0" w:space="0" w:color="auto"/>
            <w:left w:val="none" w:sz="0" w:space="0" w:color="auto"/>
            <w:bottom w:val="none" w:sz="0" w:space="0" w:color="auto"/>
            <w:right w:val="none" w:sz="0" w:space="0" w:color="auto"/>
          </w:divBdr>
        </w:div>
        <w:div w:id="1076633783">
          <w:marLeft w:val="0"/>
          <w:marRight w:val="0"/>
          <w:marTop w:val="0"/>
          <w:marBottom w:val="0"/>
          <w:divBdr>
            <w:top w:val="none" w:sz="0" w:space="0" w:color="auto"/>
            <w:left w:val="none" w:sz="0" w:space="0" w:color="auto"/>
            <w:bottom w:val="none" w:sz="0" w:space="0" w:color="auto"/>
            <w:right w:val="none" w:sz="0" w:space="0" w:color="auto"/>
          </w:divBdr>
        </w:div>
      </w:divsChild>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20117667">
      <w:bodyDiv w:val="1"/>
      <w:marLeft w:val="0"/>
      <w:marRight w:val="0"/>
      <w:marTop w:val="0"/>
      <w:marBottom w:val="0"/>
      <w:divBdr>
        <w:top w:val="none" w:sz="0" w:space="0" w:color="auto"/>
        <w:left w:val="none" w:sz="0" w:space="0" w:color="auto"/>
        <w:bottom w:val="none" w:sz="0" w:space="0" w:color="auto"/>
        <w:right w:val="none" w:sz="0" w:space="0" w:color="auto"/>
      </w:divBdr>
      <w:divsChild>
        <w:div w:id="1564288062">
          <w:marLeft w:val="0"/>
          <w:marRight w:val="0"/>
          <w:marTop w:val="0"/>
          <w:marBottom w:val="0"/>
          <w:divBdr>
            <w:top w:val="none" w:sz="0" w:space="0" w:color="auto"/>
            <w:left w:val="none" w:sz="0" w:space="0" w:color="auto"/>
            <w:bottom w:val="none" w:sz="0" w:space="0" w:color="auto"/>
            <w:right w:val="none" w:sz="0" w:space="0" w:color="auto"/>
          </w:divBdr>
        </w:div>
        <w:div w:id="1978296305">
          <w:marLeft w:val="0"/>
          <w:marRight w:val="0"/>
          <w:marTop w:val="0"/>
          <w:marBottom w:val="0"/>
          <w:divBdr>
            <w:top w:val="none" w:sz="0" w:space="0" w:color="auto"/>
            <w:left w:val="none" w:sz="0" w:space="0" w:color="auto"/>
            <w:bottom w:val="none" w:sz="0" w:space="0" w:color="auto"/>
            <w:right w:val="none" w:sz="0" w:space="0" w:color="auto"/>
          </w:divBdr>
        </w:div>
      </w:divsChild>
    </w:div>
    <w:div w:id="827212957">
      <w:bodyDiv w:val="1"/>
      <w:marLeft w:val="0"/>
      <w:marRight w:val="0"/>
      <w:marTop w:val="0"/>
      <w:marBottom w:val="0"/>
      <w:divBdr>
        <w:top w:val="none" w:sz="0" w:space="0" w:color="auto"/>
        <w:left w:val="none" w:sz="0" w:space="0" w:color="auto"/>
        <w:bottom w:val="none" w:sz="0" w:space="0" w:color="auto"/>
        <w:right w:val="none" w:sz="0" w:space="0" w:color="auto"/>
      </w:divBdr>
      <w:divsChild>
        <w:div w:id="161895660">
          <w:marLeft w:val="0"/>
          <w:marRight w:val="0"/>
          <w:marTop w:val="0"/>
          <w:marBottom w:val="0"/>
          <w:divBdr>
            <w:top w:val="none" w:sz="0" w:space="0" w:color="auto"/>
            <w:left w:val="none" w:sz="0" w:space="0" w:color="auto"/>
            <w:bottom w:val="none" w:sz="0" w:space="0" w:color="auto"/>
            <w:right w:val="none" w:sz="0" w:space="0" w:color="auto"/>
          </w:divBdr>
        </w:div>
        <w:div w:id="1951618479">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896933255">
      <w:bodyDiv w:val="1"/>
      <w:marLeft w:val="0"/>
      <w:marRight w:val="0"/>
      <w:marTop w:val="0"/>
      <w:marBottom w:val="0"/>
      <w:divBdr>
        <w:top w:val="none" w:sz="0" w:space="0" w:color="auto"/>
        <w:left w:val="none" w:sz="0" w:space="0" w:color="auto"/>
        <w:bottom w:val="none" w:sz="0" w:space="0" w:color="auto"/>
        <w:right w:val="none" w:sz="0" w:space="0" w:color="auto"/>
      </w:divBdr>
      <w:divsChild>
        <w:div w:id="1446735746">
          <w:marLeft w:val="0"/>
          <w:marRight w:val="0"/>
          <w:marTop w:val="0"/>
          <w:marBottom w:val="0"/>
          <w:divBdr>
            <w:top w:val="none" w:sz="0" w:space="0" w:color="auto"/>
            <w:left w:val="none" w:sz="0" w:space="0" w:color="auto"/>
            <w:bottom w:val="none" w:sz="0" w:space="0" w:color="auto"/>
            <w:right w:val="none" w:sz="0" w:space="0" w:color="auto"/>
          </w:divBdr>
        </w:div>
        <w:div w:id="1918131862">
          <w:marLeft w:val="0"/>
          <w:marRight w:val="0"/>
          <w:marTop w:val="0"/>
          <w:marBottom w:val="0"/>
          <w:divBdr>
            <w:top w:val="none" w:sz="0" w:space="0" w:color="auto"/>
            <w:left w:val="none" w:sz="0" w:space="0" w:color="auto"/>
            <w:bottom w:val="none" w:sz="0" w:space="0" w:color="auto"/>
            <w:right w:val="none" w:sz="0" w:space="0" w:color="auto"/>
          </w:divBdr>
        </w:div>
      </w:divsChild>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3409443">
      <w:bodyDiv w:val="1"/>
      <w:marLeft w:val="0"/>
      <w:marRight w:val="0"/>
      <w:marTop w:val="0"/>
      <w:marBottom w:val="0"/>
      <w:divBdr>
        <w:top w:val="none" w:sz="0" w:space="0" w:color="auto"/>
        <w:left w:val="none" w:sz="0" w:space="0" w:color="auto"/>
        <w:bottom w:val="none" w:sz="0" w:space="0" w:color="auto"/>
        <w:right w:val="none" w:sz="0" w:space="0" w:color="auto"/>
      </w:divBdr>
      <w:divsChild>
        <w:div w:id="1251088590">
          <w:marLeft w:val="0"/>
          <w:marRight w:val="0"/>
          <w:marTop w:val="0"/>
          <w:marBottom w:val="0"/>
          <w:divBdr>
            <w:top w:val="none" w:sz="0" w:space="0" w:color="auto"/>
            <w:left w:val="none" w:sz="0" w:space="0" w:color="auto"/>
            <w:bottom w:val="none" w:sz="0" w:space="0" w:color="auto"/>
            <w:right w:val="none" w:sz="0" w:space="0" w:color="auto"/>
          </w:divBdr>
        </w:div>
        <w:div w:id="748189643">
          <w:marLeft w:val="0"/>
          <w:marRight w:val="0"/>
          <w:marTop w:val="0"/>
          <w:marBottom w:val="0"/>
          <w:divBdr>
            <w:top w:val="none" w:sz="0" w:space="0" w:color="auto"/>
            <w:left w:val="none" w:sz="0" w:space="0" w:color="auto"/>
            <w:bottom w:val="none" w:sz="0" w:space="0" w:color="auto"/>
            <w:right w:val="none" w:sz="0" w:space="0" w:color="auto"/>
          </w:divBdr>
        </w:div>
        <w:div w:id="1144542212">
          <w:marLeft w:val="0"/>
          <w:marRight w:val="0"/>
          <w:marTop w:val="0"/>
          <w:marBottom w:val="0"/>
          <w:divBdr>
            <w:top w:val="none" w:sz="0" w:space="0" w:color="auto"/>
            <w:left w:val="none" w:sz="0" w:space="0" w:color="auto"/>
            <w:bottom w:val="none" w:sz="0" w:space="0" w:color="auto"/>
            <w:right w:val="none" w:sz="0" w:space="0" w:color="auto"/>
          </w:divBdr>
        </w:div>
        <w:div w:id="1368604008">
          <w:marLeft w:val="0"/>
          <w:marRight w:val="0"/>
          <w:marTop w:val="0"/>
          <w:marBottom w:val="0"/>
          <w:divBdr>
            <w:top w:val="none" w:sz="0" w:space="0" w:color="auto"/>
            <w:left w:val="none" w:sz="0" w:space="0" w:color="auto"/>
            <w:bottom w:val="none" w:sz="0" w:space="0" w:color="auto"/>
            <w:right w:val="none" w:sz="0" w:space="0" w:color="auto"/>
          </w:divBdr>
        </w:div>
        <w:div w:id="165671453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4916198">
      <w:bodyDiv w:val="1"/>
      <w:marLeft w:val="0"/>
      <w:marRight w:val="0"/>
      <w:marTop w:val="0"/>
      <w:marBottom w:val="0"/>
      <w:divBdr>
        <w:top w:val="none" w:sz="0" w:space="0" w:color="auto"/>
        <w:left w:val="none" w:sz="0" w:space="0" w:color="auto"/>
        <w:bottom w:val="none" w:sz="0" w:space="0" w:color="auto"/>
        <w:right w:val="none" w:sz="0" w:space="0" w:color="auto"/>
      </w:divBdr>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08814796">
      <w:bodyDiv w:val="1"/>
      <w:marLeft w:val="0"/>
      <w:marRight w:val="0"/>
      <w:marTop w:val="0"/>
      <w:marBottom w:val="0"/>
      <w:divBdr>
        <w:top w:val="none" w:sz="0" w:space="0" w:color="auto"/>
        <w:left w:val="none" w:sz="0" w:space="0" w:color="auto"/>
        <w:bottom w:val="none" w:sz="0" w:space="0" w:color="auto"/>
        <w:right w:val="none" w:sz="0" w:space="0" w:color="auto"/>
      </w:divBdr>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64124240">
      <w:bodyDiv w:val="1"/>
      <w:marLeft w:val="0"/>
      <w:marRight w:val="0"/>
      <w:marTop w:val="0"/>
      <w:marBottom w:val="0"/>
      <w:divBdr>
        <w:top w:val="none" w:sz="0" w:space="0" w:color="auto"/>
        <w:left w:val="none" w:sz="0" w:space="0" w:color="auto"/>
        <w:bottom w:val="none" w:sz="0" w:space="0" w:color="auto"/>
        <w:right w:val="none" w:sz="0" w:space="0" w:color="auto"/>
      </w:divBdr>
      <w:divsChild>
        <w:div w:id="1278951169">
          <w:marLeft w:val="0"/>
          <w:marRight w:val="0"/>
          <w:marTop w:val="0"/>
          <w:marBottom w:val="0"/>
          <w:divBdr>
            <w:top w:val="none" w:sz="0" w:space="0" w:color="auto"/>
            <w:left w:val="none" w:sz="0" w:space="0" w:color="auto"/>
            <w:bottom w:val="none" w:sz="0" w:space="0" w:color="auto"/>
            <w:right w:val="none" w:sz="0" w:space="0" w:color="auto"/>
          </w:divBdr>
        </w:div>
        <w:div w:id="389693143">
          <w:marLeft w:val="0"/>
          <w:marRight w:val="0"/>
          <w:marTop w:val="0"/>
          <w:marBottom w:val="0"/>
          <w:divBdr>
            <w:top w:val="none" w:sz="0" w:space="0" w:color="auto"/>
            <w:left w:val="none" w:sz="0" w:space="0" w:color="auto"/>
            <w:bottom w:val="none" w:sz="0" w:space="0" w:color="auto"/>
            <w:right w:val="none" w:sz="0" w:space="0" w:color="auto"/>
          </w:divBdr>
        </w:div>
        <w:div w:id="1580016044">
          <w:marLeft w:val="0"/>
          <w:marRight w:val="0"/>
          <w:marTop w:val="0"/>
          <w:marBottom w:val="0"/>
          <w:divBdr>
            <w:top w:val="none" w:sz="0" w:space="0" w:color="auto"/>
            <w:left w:val="none" w:sz="0" w:space="0" w:color="auto"/>
            <w:bottom w:val="none" w:sz="0" w:space="0" w:color="auto"/>
            <w:right w:val="none" w:sz="0" w:space="0" w:color="auto"/>
          </w:divBdr>
        </w:div>
        <w:div w:id="1291205521">
          <w:marLeft w:val="0"/>
          <w:marRight w:val="0"/>
          <w:marTop w:val="0"/>
          <w:marBottom w:val="0"/>
          <w:divBdr>
            <w:top w:val="none" w:sz="0" w:space="0" w:color="auto"/>
            <w:left w:val="none" w:sz="0" w:space="0" w:color="auto"/>
            <w:bottom w:val="none" w:sz="0" w:space="0" w:color="auto"/>
            <w:right w:val="none" w:sz="0" w:space="0" w:color="auto"/>
          </w:divBdr>
        </w:div>
        <w:div w:id="1300653025">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2347892">
      <w:bodyDiv w:val="1"/>
      <w:marLeft w:val="0"/>
      <w:marRight w:val="0"/>
      <w:marTop w:val="0"/>
      <w:marBottom w:val="0"/>
      <w:divBdr>
        <w:top w:val="none" w:sz="0" w:space="0" w:color="auto"/>
        <w:left w:val="none" w:sz="0" w:space="0" w:color="auto"/>
        <w:bottom w:val="none" w:sz="0" w:space="0" w:color="auto"/>
        <w:right w:val="none" w:sz="0" w:space="0" w:color="auto"/>
      </w:divBdr>
    </w:div>
    <w:div w:id="1307396218">
      <w:bodyDiv w:val="1"/>
      <w:marLeft w:val="0"/>
      <w:marRight w:val="0"/>
      <w:marTop w:val="0"/>
      <w:marBottom w:val="0"/>
      <w:divBdr>
        <w:top w:val="none" w:sz="0" w:space="0" w:color="auto"/>
        <w:left w:val="none" w:sz="0" w:space="0" w:color="auto"/>
        <w:bottom w:val="none" w:sz="0" w:space="0" w:color="auto"/>
        <w:right w:val="none" w:sz="0" w:space="0" w:color="auto"/>
      </w:divBdr>
      <w:divsChild>
        <w:div w:id="614021426">
          <w:marLeft w:val="0"/>
          <w:marRight w:val="0"/>
          <w:marTop w:val="0"/>
          <w:marBottom w:val="0"/>
          <w:divBdr>
            <w:top w:val="none" w:sz="0" w:space="0" w:color="auto"/>
            <w:left w:val="none" w:sz="0" w:space="0" w:color="auto"/>
            <w:bottom w:val="none" w:sz="0" w:space="0" w:color="auto"/>
            <w:right w:val="none" w:sz="0" w:space="0" w:color="auto"/>
          </w:divBdr>
        </w:div>
        <w:div w:id="1045058510">
          <w:marLeft w:val="0"/>
          <w:marRight w:val="0"/>
          <w:marTop w:val="0"/>
          <w:marBottom w:val="0"/>
          <w:divBdr>
            <w:top w:val="none" w:sz="0" w:space="0" w:color="auto"/>
            <w:left w:val="none" w:sz="0" w:space="0" w:color="auto"/>
            <w:bottom w:val="none" w:sz="0" w:space="0" w:color="auto"/>
            <w:right w:val="none" w:sz="0" w:space="0" w:color="auto"/>
          </w:divBdr>
        </w:div>
        <w:div w:id="707338835">
          <w:marLeft w:val="0"/>
          <w:marRight w:val="0"/>
          <w:marTop w:val="0"/>
          <w:marBottom w:val="0"/>
          <w:divBdr>
            <w:top w:val="none" w:sz="0" w:space="0" w:color="auto"/>
            <w:left w:val="none" w:sz="0" w:space="0" w:color="auto"/>
            <w:bottom w:val="none" w:sz="0" w:space="0" w:color="auto"/>
            <w:right w:val="none" w:sz="0" w:space="0" w:color="auto"/>
          </w:divBdr>
        </w:div>
      </w:divsChild>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16904300">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34860490">
      <w:bodyDiv w:val="1"/>
      <w:marLeft w:val="0"/>
      <w:marRight w:val="0"/>
      <w:marTop w:val="0"/>
      <w:marBottom w:val="0"/>
      <w:divBdr>
        <w:top w:val="none" w:sz="0" w:space="0" w:color="auto"/>
        <w:left w:val="none" w:sz="0" w:space="0" w:color="auto"/>
        <w:bottom w:val="none" w:sz="0" w:space="0" w:color="auto"/>
        <w:right w:val="none" w:sz="0" w:space="0" w:color="auto"/>
      </w:divBdr>
      <w:divsChild>
        <w:div w:id="489324211">
          <w:marLeft w:val="0"/>
          <w:marRight w:val="0"/>
          <w:marTop w:val="0"/>
          <w:marBottom w:val="0"/>
          <w:divBdr>
            <w:top w:val="none" w:sz="0" w:space="0" w:color="auto"/>
            <w:left w:val="none" w:sz="0" w:space="0" w:color="auto"/>
            <w:bottom w:val="none" w:sz="0" w:space="0" w:color="auto"/>
            <w:right w:val="none" w:sz="0" w:space="0" w:color="auto"/>
          </w:divBdr>
        </w:div>
        <w:div w:id="124768604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558473368">
      <w:bodyDiv w:val="1"/>
      <w:marLeft w:val="0"/>
      <w:marRight w:val="0"/>
      <w:marTop w:val="0"/>
      <w:marBottom w:val="0"/>
      <w:divBdr>
        <w:top w:val="none" w:sz="0" w:space="0" w:color="auto"/>
        <w:left w:val="none" w:sz="0" w:space="0" w:color="auto"/>
        <w:bottom w:val="none" w:sz="0" w:space="0" w:color="auto"/>
        <w:right w:val="none" w:sz="0" w:space="0" w:color="auto"/>
      </w:divBdr>
    </w:div>
    <w:div w:id="1564486934">
      <w:bodyDiv w:val="1"/>
      <w:marLeft w:val="0"/>
      <w:marRight w:val="0"/>
      <w:marTop w:val="0"/>
      <w:marBottom w:val="0"/>
      <w:divBdr>
        <w:top w:val="none" w:sz="0" w:space="0" w:color="auto"/>
        <w:left w:val="none" w:sz="0" w:space="0" w:color="auto"/>
        <w:bottom w:val="none" w:sz="0" w:space="0" w:color="auto"/>
        <w:right w:val="none" w:sz="0" w:space="0" w:color="auto"/>
      </w:divBdr>
      <w:divsChild>
        <w:div w:id="2079130488">
          <w:marLeft w:val="0"/>
          <w:marRight w:val="0"/>
          <w:marTop w:val="0"/>
          <w:marBottom w:val="0"/>
          <w:divBdr>
            <w:top w:val="none" w:sz="0" w:space="0" w:color="auto"/>
            <w:left w:val="none" w:sz="0" w:space="0" w:color="auto"/>
            <w:bottom w:val="none" w:sz="0" w:space="0" w:color="auto"/>
            <w:right w:val="none" w:sz="0" w:space="0" w:color="auto"/>
          </w:divBdr>
        </w:div>
        <w:div w:id="48412473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10550630">
      <w:bodyDiv w:val="1"/>
      <w:marLeft w:val="0"/>
      <w:marRight w:val="0"/>
      <w:marTop w:val="0"/>
      <w:marBottom w:val="0"/>
      <w:divBdr>
        <w:top w:val="none" w:sz="0" w:space="0" w:color="auto"/>
        <w:left w:val="none" w:sz="0" w:space="0" w:color="auto"/>
        <w:bottom w:val="none" w:sz="0" w:space="0" w:color="auto"/>
        <w:right w:val="none" w:sz="0" w:space="0" w:color="auto"/>
      </w:divBdr>
    </w:div>
    <w:div w:id="1619332239">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660617709">
      <w:bodyDiv w:val="1"/>
      <w:marLeft w:val="0"/>
      <w:marRight w:val="0"/>
      <w:marTop w:val="0"/>
      <w:marBottom w:val="0"/>
      <w:divBdr>
        <w:top w:val="none" w:sz="0" w:space="0" w:color="auto"/>
        <w:left w:val="none" w:sz="0" w:space="0" w:color="auto"/>
        <w:bottom w:val="none" w:sz="0" w:space="0" w:color="auto"/>
        <w:right w:val="none" w:sz="0" w:space="0" w:color="auto"/>
      </w:divBdr>
      <w:divsChild>
        <w:div w:id="1635284629">
          <w:marLeft w:val="0"/>
          <w:marRight w:val="0"/>
          <w:marTop w:val="0"/>
          <w:marBottom w:val="0"/>
          <w:divBdr>
            <w:top w:val="none" w:sz="0" w:space="0" w:color="auto"/>
            <w:left w:val="none" w:sz="0" w:space="0" w:color="auto"/>
            <w:bottom w:val="none" w:sz="0" w:space="0" w:color="auto"/>
            <w:right w:val="none" w:sz="0" w:space="0" w:color="auto"/>
          </w:divBdr>
        </w:div>
        <w:div w:id="1481534478">
          <w:marLeft w:val="0"/>
          <w:marRight w:val="0"/>
          <w:marTop w:val="0"/>
          <w:marBottom w:val="0"/>
          <w:divBdr>
            <w:top w:val="none" w:sz="0" w:space="0" w:color="auto"/>
            <w:left w:val="none" w:sz="0" w:space="0" w:color="auto"/>
            <w:bottom w:val="none" w:sz="0" w:space="0" w:color="auto"/>
            <w:right w:val="none" w:sz="0" w:space="0" w:color="auto"/>
          </w:divBdr>
        </w:div>
        <w:div w:id="1896427699">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67072030">
      <w:bodyDiv w:val="1"/>
      <w:marLeft w:val="0"/>
      <w:marRight w:val="0"/>
      <w:marTop w:val="0"/>
      <w:marBottom w:val="0"/>
      <w:divBdr>
        <w:top w:val="none" w:sz="0" w:space="0" w:color="auto"/>
        <w:left w:val="none" w:sz="0" w:space="0" w:color="auto"/>
        <w:bottom w:val="none" w:sz="0" w:space="0" w:color="auto"/>
        <w:right w:val="none" w:sz="0" w:space="0" w:color="auto"/>
      </w:divBdr>
    </w:div>
    <w:div w:id="1784038973">
      <w:bodyDiv w:val="1"/>
      <w:marLeft w:val="0"/>
      <w:marRight w:val="0"/>
      <w:marTop w:val="0"/>
      <w:marBottom w:val="0"/>
      <w:divBdr>
        <w:top w:val="none" w:sz="0" w:space="0" w:color="auto"/>
        <w:left w:val="none" w:sz="0" w:space="0" w:color="auto"/>
        <w:bottom w:val="none" w:sz="0" w:space="0" w:color="auto"/>
        <w:right w:val="none" w:sz="0" w:space="0" w:color="auto"/>
      </w:divBdr>
      <w:divsChild>
        <w:div w:id="1719087659">
          <w:marLeft w:val="0"/>
          <w:marRight w:val="0"/>
          <w:marTop w:val="0"/>
          <w:marBottom w:val="0"/>
          <w:divBdr>
            <w:top w:val="none" w:sz="0" w:space="0" w:color="auto"/>
            <w:left w:val="none" w:sz="0" w:space="0" w:color="auto"/>
            <w:bottom w:val="none" w:sz="0" w:space="0" w:color="auto"/>
            <w:right w:val="none" w:sz="0" w:space="0" w:color="auto"/>
          </w:divBdr>
        </w:div>
        <w:div w:id="930815705">
          <w:marLeft w:val="0"/>
          <w:marRight w:val="0"/>
          <w:marTop w:val="0"/>
          <w:marBottom w:val="0"/>
          <w:divBdr>
            <w:top w:val="none" w:sz="0" w:space="0" w:color="auto"/>
            <w:left w:val="none" w:sz="0" w:space="0" w:color="auto"/>
            <w:bottom w:val="none" w:sz="0" w:space="0" w:color="auto"/>
            <w:right w:val="none" w:sz="0" w:space="0" w:color="auto"/>
          </w:divBdr>
        </w:div>
      </w:divsChild>
    </w:div>
    <w:div w:id="1812399675">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46978838">
      <w:bodyDiv w:val="1"/>
      <w:marLeft w:val="0"/>
      <w:marRight w:val="0"/>
      <w:marTop w:val="0"/>
      <w:marBottom w:val="0"/>
      <w:divBdr>
        <w:top w:val="none" w:sz="0" w:space="0" w:color="auto"/>
        <w:left w:val="none" w:sz="0" w:space="0" w:color="auto"/>
        <w:bottom w:val="none" w:sz="0" w:space="0" w:color="auto"/>
        <w:right w:val="none" w:sz="0" w:space="0" w:color="auto"/>
      </w:divBdr>
    </w:div>
    <w:div w:id="2080518361">
      <w:bodyDiv w:val="1"/>
      <w:marLeft w:val="0"/>
      <w:marRight w:val="0"/>
      <w:marTop w:val="0"/>
      <w:marBottom w:val="0"/>
      <w:divBdr>
        <w:top w:val="none" w:sz="0" w:space="0" w:color="auto"/>
        <w:left w:val="none" w:sz="0" w:space="0" w:color="auto"/>
        <w:bottom w:val="none" w:sz="0" w:space="0" w:color="auto"/>
        <w:right w:val="none" w:sz="0" w:space="0" w:color="auto"/>
      </w:divBdr>
      <w:divsChild>
        <w:div w:id="979261608">
          <w:marLeft w:val="0"/>
          <w:marRight w:val="0"/>
          <w:marTop w:val="0"/>
          <w:marBottom w:val="0"/>
          <w:divBdr>
            <w:top w:val="none" w:sz="0" w:space="0" w:color="auto"/>
            <w:left w:val="none" w:sz="0" w:space="0" w:color="auto"/>
            <w:bottom w:val="none" w:sz="0" w:space="0" w:color="auto"/>
            <w:right w:val="none" w:sz="0" w:space="0" w:color="auto"/>
          </w:divBdr>
        </w:div>
        <w:div w:id="1052653575">
          <w:marLeft w:val="0"/>
          <w:marRight w:val="0"/>
          <w:marTop w:val="0"/>
          <w:marBottom w:val="0"/>
          <w:divBdr>
            <w:top w:val="none" w:sz="0" w:space="0" w:color="auto"/>
            <w:left w:val="none" w:sz="0" w:space="0" w:color="auto"/>
            <w:bottom w:val="none" w:sz="0" w:space="0" w:color="auto"/>
            <w:right w:val="none" w:sz="0" w:space="0" w:color="auto"/>
          </w:divBdr>
        </w:div>
      </w:divsChild>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098748577">
      <w:bodyDiv w:val="1"/>
      <w:marLeft w:val="0"/>
      <w:marRight w:val="0"/>
      <w:marTop w:val="0"/>
      <w:marBottom w:val="0"/>
      <w:divBdr>
        <w:top w:val="none" w:sz="0" w:space="0" w:color="auto"/>
        <w:left w:val="none" w:sz="0" w:space="0" w:color="auto"/>
        <w:bottom w:val="none" w:sz="0" w:space="0" w:color="auto"/>
        <w:right w:val="none" w:sz="0" w:space="0" w:color="auto"/>
      </w:divBdr>
    </w:div>
    <w:div w:id="2125735115">
      <w:bodyDiv w:val="1"/>
      <w:marLeft w:val="0"/>
      <w:marRight w:val="0"/>
      <w:marTop w:val="0"/>
      <w:marBottom w:val="0"/>
      <w:divBdr>
        <w:top w:val="none" w:sz="0" w:space="0" w:color="auto"/>
        <w:left w:val="none" w:sz="0" w:space="0" w:color="auto"/>
        <w:bottom w:val="none" w:sz="0" w:space="0" w:color="auto"/>
        <w:right w:val="none" w:sz="0" w:space="0" w:color="auto"/>
      </w:divBdr>
      <w:divsChild>
        <w:div w:id="2097432270">
          <w:marLeft w:val="0"/>
          <w:marRight w:val="0"/>
          <w:marTop w:val="0"/>
          <w:marBottom w:val="0"/>
          <w:divBdr>
            <w:top w:val="none" w:sz="0" w:space="0" w:color="auto"/>
            <w:left w:val="none" w:sz="0" w:space="0" w:color="auto"/>
            <w:bottom w:val="none" w:sz="0" w:space="0" w:color="auto"/>
            <w:right w:val="none" w:sz="0" w:space="0" w:color="auto"/>
          </w:divBdr>
        </w:div>
        <w:div w:id="1980260806">
          <w:marLeft w:val="0"/>
          <w:marRight w:val="0"/>
          <w:marTop w:val="0"/>
          <w:marBottom w:val="0"/>
          <w:divBdr>
            <w:top w:val="none" w:sz="0" w:space="0" w:color="auto"/>
            <w:left w:val="none" w:sz="0" w:space="0" w:color="auto"/>
            <w:bottom w:val="none" w:sz="0" w:space="0" w:color="auto"/>
            <w:right w:val="none" w:sz="0" w:space="0" w:color="auto"/>
          </w:divBdr>
        </w:div>
      </w:divsChild>
    </w:div>
    <w:div w:id="2130127256">
      <w:bodyDiv w:val="1"/>
      <w:marLeft w:val="0"/>
      <w:marRight w:val="0"/>
      <w:marTop w:val="0"/>
      <w:marBottom w:val="0"/>
      <w:divBdr>
        <w:top w:val="none" w:sz="0" w:space="0" w:color="auto"/>
        <w:left w:val="none" w:sz="0" w:space="0" w:color="auto"/>
        <w:bottom w:val="none" w:sz="0" w:space="0" w:color="auto"/>
        <w:right w:val="none" w:sz="0" w:space="0" w:color="auto"/>
      </w:divBdr>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harer/sharer.php?u=https://www.uwlax.edu/news/posts/preparing-talent-for-the-ai-er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lax.edu/news/posts/preparing-talent-for-the-ai-era/" TargetMode="External"/><Relationship Id="rId12" Type="http://schemas.openxmlformats.org/officeDocument/2006/relationships/hyperlink" Target="https://www.uwlax.edu/info/strategic-pl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lax.edu/info/strategic-pla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nsf.gov/funding/opportunities/epiic-enabling-partnerships-increase-innovation-capacity" TargetMode="External"/><Relationship Id="rId4" Type="http://schemas.openxmlformats.org/officeDocument/2006/relationships/webSettings" Target="webSettings.xml"/><Relationship Id="rId9" Type="http://schemas.openxmlformats.org/officeDocument/2006/relationships/hyperlink" Target="https://www.facebook.com/sharer/sharer.php?u=https://www.uwlax.edu/news/posts/a-healthy-partnershi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3</Pages>
  <Words>1101</Words>
  <Characters>6278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135</cp:revision>
  <dcterms:created xsi:type="dcterms:W3CDTF">2022-04-21T18:38:00Z</dcterms:created>
  <dcterms:modified xsi:type="dcterms:W3CDTF">2025-12-04T15:51:00Z</dcterms:modified>
</cp:coreProperties>
</file>